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803"/>
        <w:tblW w:w="5000" w:type="pc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4"/>
        <w:gridCol w:w="1383"/>
        <w:gridCol w:w="1138"/>
        <w:gridCol w:w="777"/>
        <w:gridCol w:w="874"/>
        <w:gridCol w:w="1185"/>
        <w:gridCol w:w="889"/>
        <w:gridCol w:w="919"/>
        <w:gridCol w:w="750"/>
        <w:gridCol w:w="1150"/>
        <w:gridCol w:w="1008"/>
        <w:gridCol w:w="566"/>
        <w:gridCol w:w="747"/>
      </w:tblGrid>
      <w:tr w:rsidR="00DA1064" w:rsidRPr="00DA1064" w14:paraId="2589B208" w14:textId="77777777" w:rsidTr="00C502E5">
        <w:trPr>
          <w:trHeight w:val="378"/>
        </w:trPr>
        <w:tc>
          <w:tcPr>
            <w:tcW w:w="919" w:type="pct"/>
            <w:shd w:val="clear" w:color="auto" w:fill="DAE9F7" w:themeFill="text2" w:themeFillTint="1A"/>
            <w:vAlign w:val="center"/>
            <w:hideMark/>
          </w:tcPr>
          <w:p w14:paraId="55714A02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496" w:type="pct"/>
            <w:shd w:val="clear" w:color="auto" w:fill="DAE9F7" w:themeFill="text2" w:themeFillTint="1A"/>
            <w:vAlign w:val="center"/>
            <w:hideMark/>
          </w:tcPr>
          <w:p w14:paraId="763117EC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Source of microorganism</w:t>
            </w:r>
          </w:p>
        </w:tc>
        <w:tc>
          <w:tcPr>
            <w:tcW w:w="408" w:type="pct"/>
            <w:shd w:val="clear" w:color="auto" w:fill="DAE9F7" w:themeFill="text2" w:themeFillTint="1A"/>
            <w:vAlign w:val="center"/>
            <w:hideMark/>
          </w:tcPr>
          <w:p w14:paraId="546FB9D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Authenticity of Streptomyces sp. strain</w:t>
            </w:r>
          </w:p>
        </w:tc>
        <w:tc>
          <w:tcPr>
            <w:tcW w:w="278" w:type="pct"/>
            <w:shd w:val="clear" w:color="auto" w:fill="DAE9F7" w:themeFill="text2" w:themeFillTint="1A"/>
            <w:vAlign w:val="center"/>
            <w:hideMark/>
          </w:tcPr>
          <w:p w14:paraId="5D391F62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A4190">
              <w:rPr>
                <w:b/>
                <w:bCs/>
                <w:i/>
                <w:iCs/>
                <w:sz w:val="16"/>
                <w:szCs w:val="16"/>
              </w:rPr>
              <w:t>Candida</w:t>
            </w:r>
            <w:r w:rsidRPr="00DA1064">
              <w:rPr>
                <w:b/>
                <w:bCs/>
                <w:sz w:val="16"/>
                <w:szCs w:val="16"/>
              </w:rPr>
              <w:t xml:space="preserve"> sp.</w:t>
            </w:r>
          </w:p>
        </w:tc>
        <w:tc>
          <w:tcPr>
            <w:tcW w:w="313" w:type="pct"/>
            <w:shd w:val="clear" w:color="auto" w:fill="DAE9F7" w:themeFill="text2" w:themeFillTint="1A"/>
            <w:vAlign w:val="center"/>
            <w:hideMark/>
          </w:tcPr>
          <w:p w14:paraId="7375C7DE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Objective clearly stated</w:t>
            </w:r>
          </w:p>
        </w:tc>
        <w:tc>
          <w:tcPr>
            <w:tcW w:w="425" w:type="pct"/>
            <w:shd w:val="clear" w:color="auto" w:fill="DAE9F7" w:themeFill="text2" w:themeFillTint="1A"/>
            <w:vAlign w:val="center"/>
            <w:hideMark/>
          </w:tcPr>
          <w:p w14:paraId="0881849D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MIC determination</w:t>
            </w:r>
          </w:p>
        </w:tc>
        <w:tc>
          <w:tcPr>
            <w:tcW w:w="319" w:type="pct"/>
            <w:shd w:val="clear" w:color="auto" w:fill="DAE9F7" w:themeFill="text2" w:themeFillTint="1A"/>
            <w:vAlign w:val="center"/>
            <w:hideMark/>
          </w:tcPr>
          <w:p w14:paraId="6BC94357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Biofilm inhibition assay</w:t>
            </w:r>
          </w:p>
        </w:tc>
        <w:tc>
          <w:tcPr>
            <w:tcW w:w="329" w:type="pct"/>
            <w:shd w:val="clear" w:color="auto" w:fill="DAE9F7" w:themeFill="text2" w:themeFillTint="1A"/>
            <w:vAlign w:val="center"/>
            <w:hideMark/>
          </w:tcPr>
          <w:p w14:paraId="23294550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Replicates</w:t>
            </w:r>
          </w:p>
        </w:tc>
        <w:tc>
          <w:tcPr>
            <w:tcW w:w="269" w:type="pct"/>
            <w:shd w:val="clear" w:color="auto" w:fill="DAE9F7" w:themeFill="text2" w:themeFillTint="1A"/>
            <w:vAlign w:val="center"/>
            <w:hideMark/>
          </w:tcPr>
          <w:p w14:paraId="0154C65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Positive control</w:t>
            </w:r>
          </w:p>
        </w:tc>
        <w:tc>
          <w:tcPr>
            <w:tcW w:w="412" w:type="pct"/>
            <w:shd w:val="clear" w:color="auto" w:fill="DAE9F7" w:themeFill="text2" w:themeFillTint="1A"/>
            <w:vAlign w:val="center"/>
            <w:hideMark/>
          </w:tcPr>
          <w:p w14:paraId="2C49948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Specific Compound(s) Identified</w:t>
            </w:r>
          </w:p>
        </w:tc>
        <w:tc>
          <w:tcPr>
            <w:tcW w:w="361" w:type="pct"/>
            <w:shd w:val="clear" w:color="auto" w:fill="DAE9F7" w:themeFill="text2" w:themeFillTint="1A"/>
            <w:vAlign w:val="center"/>
            <w:hideMark/>
          </w:tcPr>
          <w:p w14:paraId="1DD3DD3B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Mechanism of Action Explained</w:t>
            </w:r>
          </w:p>
        </w:tc>
        <w:tc>
          <w:tcPr>
            <w:tcW w:w="203" w:type="pct"/>
            <w:shd w:val="clear" w:color="auto" w:fill="DAE9F7" w:themeFill="text2" w:themeFillTint="1A"/>
            <w:vAlign w:val="center"/>
            <w:hideMark/>
          </w:tcPr>
          <w:p w14:paraId="63DAEBC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68" w:type="pct"/>
            <w:shd w:val="clear" w:color="auto" w:fill="DAE9F7" w:themeFill="text2" w:themeFillTint="1A"/>
            <w:vAlign w:val="center"/>
            <w:hideMark/>
          </w:tcPr>
          <w:p w14:paraId="6093EA20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1064">
              <w:rPr>
                <w:b/>
                <w:bCs/>
                <w:sz w:val="16"/>
                <w:szCs w:val="16"/>
              </w:rPr>
              <w:t>ROB</w:t>
            </w:r>
          </w:p>
        </w:tc>
      </w:tr>
      <w:tr w:rsidR="00DA1064" w:rsidRPr="00DA1064" w14:paraId="3DEF15E9" w14:textId="77777777" w:rsidTr="00C502E5">
        <w:trPr>
          <w:trHeight w:val="312"/>
        </w:trPr>
        <w:tc>
          <w:tcPr>
            <w:tcW w:w="919" w:type="pct"/>
            <w:noWrap/>
            <w:vAlign w:val="center"/>
            <w:hideMark/>
          </w:tcPr>
          <w:p w14:paraId="2E7F9FAB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Abdella, B. et al. 2023</w:t>
            </w:r>
          </w:p>
        </w:tc>
        <w:tc>
          <w:tcPr>
            <w:tcW w:w="496" w:type="pct"/>
            <w:noWrap/>
            <w:vAlign w:val="center"/>
            <w:hideMark/>
          </w:tcPr>
          <w:p w14:paraId="711D36E3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08" w:type="pct"/>
            <w:noWrap/>
            <w:vAlign w:val="center"/>
            <w:hideMark/>
          </w:tcPr>
          <w:p w14:paraId="08CFA585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noWrap/>
            <w:vAlign w:val="center"/>
            <w:hideMark/>
          </w:tcPr>
          <w:p w14:paraId="210D86F5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vAlign w:val="center"/>
            <w:hideMark/>
          </w:tcPr>
          <w:p w14:paraId="1EFF1BDB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3BDC5289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noWrap/>
            <w:vAlign w:val="center"/>
            <w:hideMark/>
          </w:tcPr>
          <w:p w14:paraId="0E57318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noWrap/>
            <w:vAlign w:val="center"/>
            <w:hideMark/>
          </w:tcPr>
          <w:p w14:paraId="4213E721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269" w:type="pct"/>
            <w:noWrap/>
            <w:vAlign w:val="center"/>
            <w:hideMark/>
          </w:tcPr>
          <w:p w14:paraId="1096A3B9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noWrap/>
            <w:vAlign w:val="center"/>
            <w:hideMark/>
          </w:tcPr>
          <w:p w14:paraId="7E13B5A9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552D2335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03" w:type="pct"/>
            <w:noWrap/>
            <w:vAlign w:val="center"/>
            <w:hideMark/>
          </w:tcPr>
          <w:p w14:paraId="3FAC8A2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7</w:t>
            </w:r>
          </w:p>
        </w:tc>
        <w:tc>
          <w:tcPr>
            <w:tcW w:w="268" w:type="pct"/>
            <w:noWrap/>
            <w:vAlign w:val="center"/>
            <w:hideMark/>
          </w:tcPr>
          <w:p w14:paraId="593E166C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(++)</w:t>
            </w:r>
          </w:p>
        </w:tc>
      </w:tr>
      <w:tr w:rsidR="00DA1064" w:rsidRPr="00DA1064" w14:paraId="2D655E4E" w14:textId="77777777" w:rsidTr="00C502E5">
        <w:trPr>
          <w:trHeight w:val="312"/>
        </w:trPr>
        <w:tc>
          <w:tcPr>
            <w:tcW w:w="919" w:type="pct"/>
            <w:noWrap/>
            <w:vAlign w:val="center"/>
            <w:hideMark/>
          </w:tcPr>
          <w:p w14:paraId="18285BF8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Ding, N. et al. 2016</w:t>
            </w:r>
          </w:p>
        </w:tc>
        <w:tc>
          <w:tcPr>
            <w:tcW w:w="496" w:type="pct"/>
            <w:noWrap/>
            <w:vAlign w:val="center"/>
            <w:hideMark/>
          </w:tcPr>
          <w:p w14:paraId="5F5D0824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08" w:type="pct"/>
            <w:noWrap/>
            <w:vAlign w:val="center"/>
            <w:hideMark/>
          </w:tcPr>
          <w:p w14:paraId="0F0E3F1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noWrap/>
            <w:vAlign w:val="center"/>
            <w:hideMark/>
          </w:tcPr>
          <w:p w14:paraId="30984D4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vAlign w:val="center"/>
            <w:hideMark/>
          </w:tcPr>
          <w:p w14:paraId="5DD93511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70D5C7AE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9" w:type="pct"/>
            <w:noWrap/>
            <w:vAlign w:val="center"/>
            <w:hideMark/>
          </w:tcPr>
          <w:p w14:paraId="545A5DBD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329" w:type="pct"/>
            <w:noWrap/>
            <w:vAlign w:val="center"/>
            <w:hideMark/>
          </w:tcPr>
          <w:p w14:paraId="29CAFB7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269" w:type="pct"/>
            <w:noWrap/>
            <w:vAlign w:val="center"/>
            <w:hideMark/>
          </w:tcPr>
          <w:p w14:paraId="6B1EF6D3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noWrap/>
            <w:vAlign w:val="center"/>
            <w:hideMark/>
          </w:tcPr>
          <w:p w14:paraId="1DEFE5A1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1749176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03" w:type="pct"/>
            <w:noWrap/>
            <w:vAlign w:val="center"/>
            <w:hideMark/>
          </w:tcPr>
          <w:p w14:paraId="6A13699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7</w:t>
            </w:r>
          </w:p>
        </w:tc>
        <w:tc>
          <w:tcPr>
            <w:tcW w:w="268" w:type="pct"/>
            <w:noWrap/>
            <w:vAlign w:val="center"/>
            <w:hideMark/>
          </w:tcPr>
          <w:p w14:paraId="05C68EEA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(++)</w:t>
            </w:r>
          </w:p>
        </w:tc>
      </w:tr>
      <w:tr w:rsidR="00DA1064" w:rsidRPr="00DA1064" w14:paraId="0B8E00D7" w14:textId="77777777" w:rsidTr="00C502E5">
        <w:trPr>
          <w:trHeight w:val="312"/>
        </w:trPr>
        <w:tc>
          <w:tcPr>
            <w:tcW w:w="919" w:type="pct"/>
            <w:noWrap/>
            <w:vAlign w:val="center"/>
            <w:hideMark/>
          </w:tcPr>
          <w:p w14:paraId="24DFB220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 xml:space="preserve">Fattah, </w:t>
            </w:r>
            <w:proofErr w:type="spellStart"/>
            <w:r w:rsidRPr="00DA1064">
              <w:rPr>
                <w:sz w:val="16"/>
                <w:szCs w:val="16"/>
              </w:rPr>
              <w:t>Shekhany</w:t>
            </w:r>
            <w:proofErr w:type="spellEnd"/>
            <w:r w:rsidRPr="00DA1064">
              <w:rPr>
                <w:sz w:val="16"/>
                <w:szCs w:val="16"/>
              </w:rPr>
              <w:t xml:space="preserve"> and Rachid, 2024</w:t>
            </w:r>
          </w:p>
        </w:tc>
        <w:tc>
          <w:tcPr>
            <w:tcW w:w="496" w:type="pct"/>
            <w:noWrap/>
            <w:vAlign w:val="center"/>
            <w:hideMark/>
          </w:tcPr>
          <w:p w14:paraId="34C13CA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08" w:type="pct"/>
            <w:noWrap/>
            <w:vAlign w:val="center"/>
            <w:hideMark/>
          </w:tcPr>
          <w:p w14:paraId="7440DA5C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noWrap/>
            <w:vAlign w:val="center"/>
            <w:hideMark/>
          </w:tcPr>
          <w:p w14:paraId="7705F9B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vAlign w:val="center"/>
            <w:hideMark/>
          </w:tcPr>
          <w:p w14:paraId="3B4B1E2E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4BD1A60C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9" w:type="pct"/>
            <w:noWrap/>
            <w:vAlign w:val="center"/>
            <w:hideMark/>
          </w:tcPr>
          <w:p w14:paraId="44DC044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noWrap/>
            <w:vAlign w:val="center"/>
            <w:hideMark/>
          </w:tcPr>
          <w:p w14:paraId="479E1E65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  <w:hideMark/>
          </w:tcPr>
          <w:p w14:paraId="1800DE6A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noWrap/>
            <w:vAlign w:val="center"/>
            <w:hideMark/>
          </w:tcPr>
          <w:p w14:paraId="74613430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noWrap/>
            <w:vAlign w:val="center"/>
            <w:hideMark/>
          </w:tcPr>
          <w:p w14:paraId="501C11AB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03" w:type="pct"/>
            <w:noWrap/>
            <w:vAlign w:val="center"/>
            <w:hideMark/>
          </w:tcPr>
          <w:p w14:paraId="5FDEAD41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8</w:t>
            </w:r>
          </w:p>
        </w:tc>
        <w:tc>
          <w:tcPr>
            <w:tcW w:w="268" w:type="pct"/>
            <w:noWrap/>
            <w:vAlign w:val="center"/>
            <w:hideMark/>
          </w:tcPr>
          <w:p w14:paraId="7CA9722C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(+)</w:t>
            </w:r>
          </w:p>
        </w:tc>
      </w:tr>
      <w:tr w:rsidR="00DA1064" w:rsidRPr="00DA1064" w14:paraId="6F7EE6B5" w14:textId="77777777" w:rsidTr="00C502E5">
        <w:trPr>
          <w:trHeight w:val="312"/>
        </w:trPr>
        <w:tc>
          <w:tcPr>
            <w:tcW w:w="919" w:type="pct"/>
            <w:noWrap/>
            <w:vAlign w:val="center"/>
            <w:hideMark/>
          </w:tcPr>
          <w:p w14:paraId="61C2FF83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Meng, L. et al. 2019</w:t>
            </w:r>
          </w:p>
        </w:tc>
        <w:tc>
          <w:tcPr>
            <w:tcW w:w="496" w:type="pct"/>
            <w:noWrap/>
            <w:vAlign w:val="center"/>
            <w:hideMark/>
          </w:tcPr>
          <w:p w14:paraId="10D12267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08" w:type="pct"/>
            <w:noWrap/>
            <w:vAlign w:val="center"/>
            <w:hideMark/>
          </w:tcPr>
          <w:p w14:paraId="42218CC7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noWrap/>
            <w:vAlign w:val="center"/>
            <w:hideMark/>
          </w:tcPr>
          <w:p w14:paraId="1C229373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vAlign w:val="center"/>
            <w:hideMark/>
          </w:tcPr>
          <w:p w14:paraId="757F5E7E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3258FF0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9" w:type="pct"/>
            <w:noWrap/>
            <w:vAlign w:val="center"/>
            <w:hideMark/>
          </w:tcPr>
          <w:p w14:paraId="1B3DC2E2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noWrap/>
            <w:vAlign w:val="center"/>
            <w:hideMark/>
          </w:tcPr>
          <w:p w14:paraId="2B6A292D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  <w:hideMark/>
          </w:tcPr>
          <w:p w14:paraId="22BA6B5B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noWrap/>
            <w:vAlign w:val="center"/>
            <w:hideMark/>
          </w:tcPr>
          <w:p w14:paraId="64B54AE3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1A06D59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03" w:type="pct"/>
            <w:noWrap/>
            <w:vAlign w:val="center"/>
            <w:hideMark/>
          </w:tcPr>
          <w:p w14:paraId="133C9D4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9</w:t>
            </w:r>
          </w:p>
        </w:tc>
        <w:tc>
          <w:tcPr>
            <w:tcW w:w="268" w:type="pct"/>
            <w:noWrap/>
            <w:vAlign w:val="center"/>
            <w:hideMark/>
          </w:tcPr>
          <w:p w14:paraId="176A9911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(+)</w:t>
            </w:r>
          </w:p>
        </w:tc>
      </w:tr>
      <w:tr w:rsidR="00DA1064" w:rsidRPr="00DA1064" w14:paraId="2B3151B8" w14:textId="77777777" w:rsidTr="00C502E5">
        <w:trPr>
          <w:trHeight w:val="312"/>
        </w:trPr>
        <w:tc>
          <w:tcPr>
            <w:tcW w:w="919" w:type="pct"/>
            <w:noWrap/>
            <w:vAlign w:val="center"/>
            <w:hideMark/>
          </w:tcPr>
          <w:p w14:paraId="72659D2B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Mu, Y.Q. et al. 2020</w:t>
            </w:r>
          </w:p>
        </w:tc>
        <w:tc>
          <w:tcPr>
            <w:tcW w:w="496" w:type="pct"/>
            <w:noWrap/>
            <w:vAlign w:val="center"/>
            <w:hideMark/>
          </w:tcPr>
          <w:p w14:paraId="3F4B7EB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408" w:type="pct"/>
            <w:noWrap/>
            <w:vAlign w:val="center"/>
            <w:hideMark/>
          </w:tcPr>
          <w:p w14:paraId="4E493BAC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noWrap/>
            <w:vAlign w:val="center"/>
            <w:hideMark/>
          </w:tcPr>
          <w:p w14:paraId="6A8325BA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313" w:type="pct"/>
            <w:noWrap/>
            <w:vAlign w:val="center"/>
            <w:hideMark/>
          </w:tcPr>
          <w:p w14:paraId="444B2E2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1336895A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noWrap/>
            <w:vAlign w:val="center"/>
            <w:hideMark/>
          </w:tcPr>
          <w:p w14:paraId="2E400CDA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noWrap/>
            <w:vAlign w:val="center"/>
            <w:hideMark/>
          </w:tcPr>
          <w:p w14:paraId="6A39C1C9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269" w:type="pct"/>
            <w:noWrap/>
            <w:vAlign w:val="center"/>
            <w:hideMark/>
          </w:tcPr>
          <w:p w14:paraId="44CC3DD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noWrap/>
            <w:vAlign w:val="center"/>
            <w:hideMark/>
          </w:tcPr>
          <w:p w14:paraId="6A6E658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283A0439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03" w:type="pct"/>
            <w:noWrap/>
            <w:vAlign w:val="center"/>
            <w:hideMark/>
          </w:tcPr>
          <w:p w14:paraId="54C0D52C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5</w:t>
            </w:r>
          </w:p>
        </w:tc>
        <w:tc>
          <w:tcPr>
            <w:tcW w:w="268" w:type="pct"/>
            <w:noWrap/>
            <w:vAlign w:val="center"/>
            <w:hideMark/>
          </w:tcPr>
          <w:p w14:paraId="04BEEA5B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(+++)</w:t>
            </w:r>
          </w:p>
        </w:tc>
      </w:tr>
      <w:tr w:rsidR="00DA1064" w:rsidRPr="00DA1064" w14:paraId="3FF9337F" w14:textId="77777777" w:rsidTr="00C502E5">
        <w:trPr>
          <w:trHeight w:val="312"/>
        </w:trPr>
        <w:tc>
          <w:tcPr>
            <w:tcW w:w="919" w:type="pct"/>
            <w:noWrap/>
            <w:vAlign w:val="center"/>
            <w:hideMark/>
          </w:tcPr>
          <w:p w14:paraId="1E18BD36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DA1064">
              <w:rPr>
                <w:sz w:val="16"/>
                <w:szCs w:val="16"/>
              </w:rPr>
              <w:t>Nirwati</w:t>
            </w:r>
            <w:proofErr w:type="spellEnd"/>
            <w:r w:rsidRPr="00DA1064">
              <w:rPr>
                <w:sz w:val="16"/>
                <w:szCs w:val="16"/>
              </w:rPr>
              <w:t>, H. et al. 2022</w:t>
            </w:r>
          </w:p>
        </w:tc>
        <w:tc>
          <w:tcPr>
            <w:tcW w:w="496" w:type="pct"/>
            <w:noWrap/>
            <w:vAlign w:val="center"/>
            <w:hideMark/>
          </w:tcPr>
          <w:p w14:paraId="361F9164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08" w:type="pct"/>
            <w:noWrap/>
            <w:vAlign w:val="center"/>
            <w:hideMark/>
          </w:tcPr>
          <w:p w14:paraId="74197BD2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noWrap/>
            <w:vAlign w:val="center"/>
            <w:hideMark/>
          </w:tcPr>
          <w:p w14:paraId="10B026F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vAlign w:val="center"/>
            <w:hideMark/>
          </w:tcPr>
          <w:p w14:paraId="50D3BF5A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6660AF91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9" w:type="pct"/>
            <w:noWrap/>
            <w:vAlign w:val="center"/>
            <w:hideMark/>
          </w:tcPr>
          <w:p w14:paraId="263C3FA5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noWrap/>
            <w:vAlign w:val="center"/>
            <w:hideMark/>
          </w:tcPr>
          <w:p w14:paraId="70625AFB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  <w:hideMark/>
          </w:tcPr>
          <w:p w14:paraId="08493850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12" w:type="pct"/>
            <w:noWrap/>
            <w:vAlign w:val="center"/>
            <w:hideMark/>
          </w:tcPr>
          <w:p w14:paraId="7C02028A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7428722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03" w:type="pct"/>
            <w:noWrap/>
            <w:vAlign w:val="center"/>
            <w:hideMark/>
          </w:tcPr>
          <w:p w14:paraId="4EB00C1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10</w:t>
            </w:r>
          </w:p>
        </w:tc>
        <w:tc>
          <w:tcPr>
            <w:tcW w:w="268" w:type="pct"/>
            <w:noWrap/>
            <w:vAlign w:val="center"/>
            <w:hideMark/>
          </w:tcPr>
          <w:p w14:paraId="52CDE5E4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(+)</w:t>
            </w:r>
          </w:p>
        </w:tc>
      </w:tr>
      <w:tr w:rsidR="00DA1064" w:rsidRPr="00DA1064" w14:paraId="404E9E97" w14:textId="77777777" w:rsidTr="00C502E5">
        <w:trPr>
          <w:trHeight w:val="312"/>
        </w:trPr>
        <w:tc>
          <w:tcPr>
            <w:tcW w:w="919" w:type="pct"/>
            <w:noWrap/>
            <w:vAlign w:val="center"/>
            <w:hideMark/>
          </w:tcPr>
          <w:p w14:paraId="5639568B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Srivastava, V. and Dubey, A.K. 2016</w:t>
            </w:r>
          </w:p>
        </w:tc>
        <w:tc>
          <w:tcPr>
            <w:tcW w:w="496" w:type="pct"/>
            <w:noWrap/>
            <w:vAlign w:val="center"/>
            <w:hideMark/>
          </w:tcPr>
          <w:p w14:paraId="70B9F04E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08" w:type="pct"/>
            <w:noWrap/>
            <w:vAlign w:val="center"/>
            <w:hideMark/>
          </w:tcPr>
          <w:p w14:paraId="2844CA10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noWrap/>
            <w:vAlign w:val="center"/>
            <w:hideMark/>
          </w:tcPr>
          <w:p w14:paraId="720886AD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vAlign w:val="center"/>
            <w:hideMark/>
          </w:tcPr>
          <w:p w14:paraId="4C2383E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0987DB82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9" w:type="pct"/>
            <w:noWrap/>
            <w:vAlign w:val="center"/>
            <w:hideMark/>
          </w:tcPr>
          <w:p w14:paraId="3BFCD29C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noWrap/>
            <w:vAlign w:val="center"/>
            <w:hideMark/>
          </w:tcPr>
          <w:p w14:paraId="6D286FFA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  <w:hideMark/>
          </w:tcPr>
          <w:p w14:paraId="435CCAB2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12" w:type="pct"/>
            <w:noWrap/>
            <w:vAlign w:val="center"/>
            <w:hideMark/>
          </w:tcPr>
          <w:p w14:paraId="59D8F8B0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73C95299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03" w:type="pct"/>
            <w:noWrap/>
            <w:vAlign w:val="center"/>
            <w:hideMark/>
          </w:tcPr>
          <w:p w14:paraId="0D72AF8C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10</w:t>
            </w:r>
          </w:p>
        </w:tc>
        <w:tc>
          <w:tcPr>
            <w:tcW w:w="268" w:type="pct"/>
            <w:noWrap/>
            <w:vAlign w:val="center"/>
            <w:hideMark/>
          </w:tcPr>
          <w:p w14:paraId="03C539F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(+)</w:t>
            </w:r>
          </w:p>
        </w:tc>
      </w:tr>
      <w:tr w:rsidR="00DA1064" w:rsidRPr="00DA1064" w14:paraId="40042262" w14:textId="77777777" w:rsidTr="00C502E5">
        <w:trPr>
          <w:trHeight w:val="312"/>
        </w:trPr>
        <w:tc>
          <w:tcPr>
            <w:tcW w:w="919" w:type="pct"/>
            <w:noWrap/>
            <w:vAlign w:val="center"/>
            <w:hideMark/>
          </w:tcPr>
          <w:p w14:paraId="2326CE1D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Singh, Ali and Dubey, 2023</w:t>
            </w:r>
          </w:p>
        </w:tc>
        <w:tc>
          <w:tcPr>
            <w:tcW w:w="496" w:type="pct"/>
            <w:noWrap/>
            <w:vAlign w:val="center"/>
            <w:hideMark/>
          </w:tcPr>
          <w:p w14:paraId="22BDFE69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08" w:type="pct"/>
            <w:noWrap/>
            <w:vAlign w:val="center"/>
            <w:hideMark/>
          </w:tcPr>
          <w:p w14:paraId="6DD5CDB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noWrap/>
            <w:vAlign w:val="center"/>
            <w:hideMark/>
          </w:tcPr>
          <w:p w14:paraId="3E42FCCB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vAlign w:val="center"/>
            <w:hideMark/>
          </w:tcPr>
          <w:p w14:paraId="2AE8BA82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3D47E0F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9" w:type="pct"/>
            <w:noWrap/>
            <w:vAlign w:val="center"/>
            <w:hideMark/>
          </w:tcPr>
          <w:p w14:paraId="098F7354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noWrap/>
            <w:vAlign w:val="center"/>
            <w:hideMark/>
          </w:tcPr>
          <w:p w14:paraId="5F480514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  <w:hideMark/>
          </w:tcPr>
          <w:p w14:paraId="68F7A682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12" w:type="pct"/>
            <w:noWrap/>
            <w:vAlign w:val="center"/>
            <w:hideMark/>
          </w:tcPr>
          <w:p w14:paraId="7FBBA5AF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5CD03052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03" w:type="pct"/>
            <w:noWrap/>
            <w:vAlign w:val="center"/>
            <w:hideMark/>
          </w:tcPr>
          <w:p w14:paraId="39DA9C7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10</w:t>
            </w:r>
          </w:p>
        </w:tc>
        <w:tc>
          <w:tcPr>
            <w:tcW w:w="268" w:type="pct"/>
            <w:noWrap/>
            <w:vAlign w:val="center"/>
            <w:hideMark/>
          </w:tcPr>
          <w:p w14:paraId="12B189E7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(+)</w:t>
            </w:r>
          </w:p>
        </w:tc>
      </w:tr>
      <w:tr w:rsidR="00DA1064" w:rsidRPr="00DA1064" w14:paraId="453FE804" w14:textId="77777777" w:rsidTr="00C502E5">
        <w:trPr>
          <w:trHeight w:val="312"/>
        </w:trPr>
        <w:tc>
          <w:tcPr>
            <w:tcW w:w="919" w:type="pct"/>
            <w:noWrap/>
            <w:vAlign w:val="center"/>
            <w:hideMark/>
          </w:tcPr>
          <w:p w14:paraId="79A7DDAB" w14:textId="77777777" w:rsidR="00DA1064" w:rsidRPr="00DA1064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Singh et al., 2024</w:t>
            </w:r>
          </w:p>
        </w:tc>
        <w:tc>
          <w:tcPr>
            <w:tcW w:w="496" w:type="pct"/>
            <w:noWrap/>
            <w:vAlign w:val="center"/>
            <w:hideMark/>
          </w:tcPr>
          <w:p w14:paraId="37EFE1AE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08" w:type="pct"/>
            <w:noWrap/>
            <w:vAlign w:val="center"/>
            <w:hideMark/>
          </w:tcPr>
          <w:p w14:paraId="08B1B418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noWrap/>
            <w:vAlign w:val="center"/>
            <w:hideMark/>
          </w:tcPr>
          <w:p w14:paraId="2456B511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vAlign w:val="center"/>
            <w:hideMark/>
          </w:tcPr>
          <w:p w14:paraId="2D6D176E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4D28B106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19" w:type="pct"/>
            <w:noWrap/>
            <w:vAlign w:val="center"/>
            <w:hideMark/>
          </w:tcPr>
          <w:p w14:paraId="2D1C19C2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noWrap/>
            <w:vAlign w:val="center"/>
            <w:hideMark/>
          </w:tcPr>
          <w:p w14:paraId="2A14F481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  <w:hideMark/>
          </w:tcPr>
          <w:p w14:paraId="00F4C837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412" w:type="pct"/>
            <w:noWrap/>
            <w:vAlign w:val="center"/>
            <w:hideMark/>
          </w:tcPr>
          <w:p w14:paraId="49B1A72B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3F66F783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</w:t>
            </w:r>
          </w:p>
        </w:tc>
        <w:tc>
          <w:tcPr>
            <w:tcW w:w="203" w:type="pct"/>
            <w:noWrap/>
            <w:vAlign w:val="center"/>
            <w:hideMark/>
          </w:tcPr>
          <w:p w14:paraId="6C322831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10</w:t>
            </w:r>
          </w:p>
        </w:tc>
        <w:tc>
          <w:tcPr>
            <w:tcW w:w="268" w:type="pct"/>
            <w:noWrap/>
            <w:vAlign w:val="center"/>
            <w:hideMark/>
          </w:tcPr>
          <w:p w14:paraId="5B3CC434" w14:textId="77777777" w:rsidR="00DA1064" w:rsidRPr="00DA1064" w:rsidRDefault="00DA1064" w:rsidP="00545DFB">
            <w:pPr>
              <w:bidi w:val="0"/>
              <w:spacing w:line="240" w:lineRule="auto"/>
              <w:jc w:val="center"/>
              <w:rPr>
                <w:sz w:val="16"/>
                <w:szCs w:val="16"/>
              </w:rPr>
            </w:pPr>
            <w:r w:rsidRPr="00DA1064">
              <w:rPr>
                <w:sz w:val="16"/>
                <w:szCs w:val="16"/>
              </w:rPr>
              <w:t>(+)</w:t>
            </w:r>
          </w:p>
        </w:tc>
      </w:tr>
      <w:tr w:rsidR="00DA1064" w:rsidRPr="00DA1064" w14:paraId="12992865" w14:textId="77777777" w:rsidTr="00C502E5">
        <w:trPr>
          <w:trHeight w:val="557"/>
        </w:trPr>
        <w:tc>
          <w:tcPr>
            <w:tcW w:w="5000" w:type="pct"/>
            <w:gridSpan w:val="13"/>
            <w:vAlign w:val="center"/>
            <w:hideMark/>
          </w:tcPr>
          <w:p w14:paraId="3FB4B539" w14:textId="77777777" w:rsidR="00DA1064" w:rsidRPr="00545DFB" w:rsidRDefault="00DA1064" w:rsidP="00545DFB">
            <w:pPr>
              <w:bidi w:val="0"/>
              <w:spacing w:line="240" w:lineRule="auto"/>
              <w:jc w:val="left"/>
              <w:rPr>
                <w:sz w:val="16"/>
                <w:szCs w:val="16"/>
              </w:rPr>
            </w:pPr>
            <w:r w:rsidRPr="00545DFB">
              <w:rPr>
                <w:sz w:val="16"/>
                <w:szCs w:val="16"/>
              </w:rPr>
              <w:t>Risk of bias assessment matrix across included in-vitro studies. Each parameter was scored as “1” (adequately reported) or “0” (not reported/unclear). Final scores were categorized as: 0–5 = high risk (+++), 6–7 = medium risk (++), 8–10 = low risk (+).</w:t>
            </w:r>
          </w:p>
        </w:tc>
      </w:tr>
    </w:tbl>
    <w:p w14:paraId="589C4D8B" w14:textId="77777777" w:rsidR="00545DFB" w:rsidRPr="00DA1064" w:rsidRDefault="00545DFB" w:rsidP="00545DFB">
      <w:pPr>
        <w:bidi w:val="0"/>
        <w:spacing w:line="240" w:lineRule="auto"/>
        <w:rPr>
          <w:b/>
          <w:bCs/>
          <w:sz w:val="16"/>
          <w:szCs w:val="16"/>
        </w:rPr>
      </w:pPr>
      <w:r w:rsidRPr="00DA1064">
        <w:rPr>
          <w:b/>
          <w:bCs/>
          <w:sz w:val="16"/>
          <w:szCs w:val="16"/>
        </w:rPr>
        <w:t>Supplementary Table S1.</w:t>
      </w:r>
    </w:p>
    <w:p w14:paraId="26FB3514" w14:textId="77777777" w:rsidR="0095060B" w:rsidRDefault="0095060B" w:rsidP="00545DFB">
      <w:pPr>
        <w:bidi w:val="0"/>
      </w:pPr>
    </w:p>
    <w:sectPr w:rsidR="0095060B" w:rsidSect="00DA1064">
      <w:pgSz w:w="16840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DB"/>
    <w:rsid w:val="00081598"/>
    <w:rsid w:val="001122D6"/>
    <w:rsid w:val="001A4190"/>
    <w:rsid w:val="001C15D0"/>
    <w:rsid w:val="0025571B"/>
    <w:rsid w:val="00274711"/>
    <w:rsid w:val="0028629A"/>
    <w:rsid w:val="002F63DB"/>
    <w:rsid w:val="003242BA"/>
    <w:rsid w:val="00503AC4"/>
    <w:rsid w:val="00545DFB"/>
    <w:rsid w:val="00787A02"/>
    <w:rsid w:val="008D3F82"/>
    <w:rsid w:val="0095060B"/>
    <w:rsid w:val="009A7CE5"/>
    <w:rsid w:val="009E60E6"/>
    <w:rsid w:val="00A973D2"/>
    <w:rsid w:val="00AD7B71"/>
    <w:rsid w:val="00AE2636"/>
    <w:rsid w:val="00C502E5"/>
    <w:rsid w:val="00CF33DC"/>
    <w:rsid w:val="00DA1064"/>
    <w:rsid w:val="00E016FC"/>
    <w:rsid w:val="00E578A7"/>
    <w:rsid w:val="00E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71B9C"/>
  <w15:chartTrackingRefBased/>
  <w15:docId w15:val="{606AE11E-EF42-4F89-A526-71171A50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C4"/>
    <w:pPr>
      <w:bidi/>
      <w:spacing w:after="0" w:line="360" w:lineRule="auto"/>
      <w:jc w:val="both"/>
    </w:pPr>
    <w:rPr>
      <w:rFonts w:asciiTheme="majorBidi" w:hAnsiTheme="majorBidi" w:cs="B Nazanin"/>
      <w:color w:val="000000" w:themeColor="text1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3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3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3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3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3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3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3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3DB"/>
    <w:rPr>
      <w:rFonts w:eastAsiaTheme="majorEastAsia" w:cstheme="majorBidi"/>
      <w:i/>
      <w:iCs/>
      <w:color w:val="0F4761" w:themeColor="accent1" w:themeShade="BF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3DB"/>
    <w:rPr>
      <w:rFonts w:eastAsiaTheme="majorEastAsia" w:cstheme="majorBidi"/>
      <w:color w:val="0F4761" w:themeColor="accent1" w:themeShade="BF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3DB"/>
    <w:rPr>
      <w:rFonts w:eastAsiaTheme="majorEastAsia" w:cstheme="majorBidi"/>
      <w:i/>
      <w:iCs/>
      <w:color w:val="595959" w:themeColor="text1" w:themeTint="A6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3DB"/>
    <w:rPr>
      <w:rFonts w:eastAsiaTheme="majorEastAsia" w:cstheme="majorBidi"/>
      <w:color w:val="595959" w:themeColor="text1" w:themeTint="A6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3DB"/>
    <w:rPr>
      <w:rFonts w:eastAsiaTheme="majorEastAsia" w:cstheme="majorBidi"/>
      <w:i/>
      <w:iCs/>
      <w:color w:val="272727" w:themeColor="text1" w:themeTint="D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3DB"/>
    <w:rPr>
      <w:rFonts w:eastAsiaTheme="majorEastAsia" w:cstheme="majorBidi"/>
      <w:color w:val="272727" w:themeColor="text1" w:themeTint="D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F63D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3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3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3DB"/>
    <w:rPr>
      <w:rFonts w:asciiTheme="majorBidi" w:hAnsiTheme="majorBidi" w:cs="B Nazanin"/>
      <w:i/>
      <w:iCs/>
      <w:color w:val="404040" w:themeColor="text1" w:themeTint="BF"/>
      <w:szCs w:val="28"/>
    </w:rPr>
  </w:style>
  <w:style w:type="paragraph" w:styleId="ListParagraph">
    <w:name w:val="List Paragraph"/>
    <w:basedOn w:val="Normal"/>
    <w:uiPriority w:val="34"/>
    <w:qFormat/>
    <w:rsid w:val="002F6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3DB"/>
    <w:rPr>
      <w:rFonts w:asciiTheme="majorBidi" w:hAnsiTheme="majorBidi" w:cs="B Nazanin"/>
      <w:i/>
      <w:iCs/>
      <w:color w:val="0F4761" w:themeColor="accent1" w:themeShade="BF"/>
      <w:szCs w:val="28"/>
    </w:rPr>
  </w:style>
  <w:style w:type="character" w:styleId="IntenseReference">
    <w:name w:val="Intense Reference"/>
    <w:basedOn w:val="DefaultParagraphFont"/>
    <w:uiPriority w:val="32"/>
    <w:qFormat/>
    <w:rsid w:val="002F63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1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Javad Javidnia</dc:creator>
  <cp:keywords/>
  <dc:description/>
  <cp:lastModifiedBy>Javad Javidnia</cp:lastModifiedBy>
  <cp:revision>6</cp:revision>
  <dcterms:created xsi:type="dcterms:W3CDTF">2026-07-29T06:08:00Z</dcterms:created>
  <dcterms:modified xsi:type="dcterms:W3CDTF">2026-07-29T06:11:00Z</dcterms:modified>
</cp:coreProperties>
</file>